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A85CF7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A85CF7" w:rsidRPr="00A85CF7">
        <w:rPr>
          <w:sz w:val="26"/>
          <w:szCs w:val="26"/>
        </w:rPr>
        <w:t>Тихомирова</w:t>
      </w:r>
      <w:r w:rsidR="00A85CF7">
        <w:rPr>
          <w:sz w:val="26"/>
          <w:szCs w:val="26"/>
        </w:rPr>
        <w:t xml:space="preserve"> Ольга Владимировна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85CF7">
        <w:rPr>
          <w:sz w:val="26"/>
          <w:szCs w:val="26"/>
        </w:rPr>
        <w:t>Головцов</w:t>
      </w:r>
      <w:proofErr w:type="spellEnd"/>
      <w:r w:rsidRPr="00A85CF7">
        <w:rPr>
          <w:sz w:val="26"/>
          <w:szCs w:val="26"/>
        </w:rPr>
        <w:t xml:space="preserve">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85CF7">
        <w:rPr>
          <w:sz w:val="26"/>
          <w:szCs w:val="26"/>
        </w:rPr>
        <w:t>Горностаев</w:t>
      </w:r>
      <w:r>
        <w:rPr>
          <w:sz w:val="26"/>
          <w:szCs w:val="26"/>
        </w:rPr>
        <w:t>а</w:t>
      </w:r>
      <w:proofErr w:type="spellEnd"/>
      <w:r w:rsidRPr="00A85CF7">
        <w:rPr>
          <w:sz w:val="26"/>
          <w:szCs w:val="26"/>
        </w:rPr>
        <w:t xml:space="preserve"> М.А.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Домнич В.А.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85CF7">
        <w:rPr>
          <w:sz w:val="26"/>
          <w:szCs w:val="26"/>
        </w:rPr>
        <w:t>Кормаков</w:t>
      </w:r>
      <w:proofErr w:type="spellEnd"/>
      <w:r w:rsidRPr="00A85CF7">
        <w:rPr>
          <w:sz w:val="26"/>
          <w:szCs w:val="26"/>
        </w:rPr>
        <w:t xml:space="preserve">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431356" w:rsidRPr="00431356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Черепанов Я.И.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A85CF7" w:rsidRPr="00A85CF7" w:rsidRDefault="00A85CF7" w:rsidP="00A85CF7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Об избрании заместителя Председателя Комитета по стратегии Совета директоров Общества.</w:t>
      </w:r>
    </w:p>
    <w:p w:rsidR="00A85CF7" w:rsidRPr="00A85CF7" w:rsidRDefault="00A85CF7" w:rsidP="00A85CF7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Об избрании секретаря Комитета по стратегии Совета директоров Общества.</w:t>
      </w:r>
    </w:p>
    <w:p w:rsidR="00A85CF7" w:rsidRPr="00A85CF7" w:rsidRDefault="00A85CF7" w:rsidP="00A85CF7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О рассмотрении отчета Единоличного исполнительного органа ПАО</w:t>
      </w:r>
      <w:r w:rsidR="00953C8C">
        <w:rPr>
          <w:sz w:val="26"/>
          <w:szCs w:val="26"/>
        </w:rPr>
        <w:t> </w:t>
      </w:r>
      <w:r w:rsidRPr="00A85CF7">
        <w:rPr>
          <w:sz w:val="26"/>
          <w:szCs w:val="26"/>
        </w:rPr>
        <w:t>«МРСК Северо-Запада» об управлении ключевыми операционными рисками за 1 полугодие 2019 года.</w:t>
      </w:r>
    </w:p>
    <w:p w:rsidR="00A85CF7" w:rsidRPr="00A85CF7" w:rsidRDefault="00A85CF7" w:rsidP="00A85CF7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О рассмотрении Реестра непрофильных активов ПАО «МРСК Северо-Запада» по состоянию на 30.06.2019.</w:t>
      </w:r>
    </w:p>
    <w:p w:rsidR="00923A4B" w:rsidRPr="00923A4B" w:rsidRDefault="00A85CF7" w:rsidP="00A85CF7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2 квартал 2019 года</w:t>
      </w:r>
      <w:r w:rsidR="00923A4B" w:rsidRPr="00923A4B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4E7B2F" w:rsidRDefault="004E7B2F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4E7B2F" w:rsidRDefault="004E7B2F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4E7B2F" w:rsidRDefault="004E7B2F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 № 1: </w:t>
      </w:r>
      <w:r w:rsidR="00644417" w:rsidRPr="00644417">
        <w:rPr>
          <w:b/>
          <w:sz w:val="26"/>
          <w:szCs w:val="26"/>
        </w:rPr>
        <w:t>Об избрании заместителя Председателя Комитета по стратегии Совета директоров Общества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923A4B" w:rsidRPr="00923A4B" w:rsidRDefault="00644417" w:rsidP="00634FD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Избрать заместителем Председателя Комитета по стратегии Совета директоров ПАО «МРСК Северо-Запада» Домнича Виталия Анатольевича - Исполняющего обязанности директора Департамента стратегического развития ПАО «</w:t>
      </w:r>
      <w:proofErr w:type="spellStart"/>
      <w:r w:rsidRPr="00644417">
        <w:rPr>
          <w:sz w:val="26"/>
          <w:szCs w:val="26"/>
        </w:rPr>
        <w:t>Россети</w:t>
      </w:r>
      <w:proofErr w:type="spellEnd"/>
      <w:r w:rsidRPr="00644417">
        <w:rPr>
          <w:sz w:val="26"/>
          <w:szCs w:val="26"/>
        </w:rPr>
        <w:t>»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gramStart"/>
            <w:r w:rsidRPr="00F43D18">
              <w:rPr>
                <w:b/>
                <w:sz w:val="26"/>
                <w:szCs w:val="26"/>
              </w:rPr>
              <w:t>п</w:t>
            </w:r>
            <w:proofErr w:type="gramEnd"/>
            <w:r w:rsidRPr="00F43D1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644417" w:rsidRDefault="00644417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Горностаева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Кормаков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Pr="00644417">
        <w:rPr>
          <w:b/>
          <w:sz w:val="26"/>
          <w:szCs w:val="26"/>
        </w:rPr>
        <w:t>Об избрании секретаря Комитета по стратегии Совета директоров Общества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44417" w:rsidRPr="00923A4B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Избрать секретарем Комитета по стратегии Совета директоров ПАО «МРСК Северо-Запада» </w:t>
      </w:r>
      <w:proofErr w:type="spellStart"/>
      <w:r w:rsidRPr="00644417">
        <w:rPr>
          <w:sz w:val="26"/>
          <w:szCs w:val="26"/>
        </w:rPr>
        <w:t>Капырина</w:t>
      </w:r>
      <w:proofErr w:type="spellEnd"/>
      <w:r w:rsidRPr="00644417">
        <w:rPr>
          <w:sz w:val="26"/>
          <w:szCs w:val="26"/>
        </w:rPr>
        <w:t xml:space="preserve"> Сергея Игоревича - заместителя начальника Департамента корпоративного управления и взаимодействия с акционерами ПАО</w:t>
      </w:r>
      <w:r w:rsidR="00953C8C">
        <w:rPr>
          <w:sz w:val="26"/>
          <w:szCs w:val="26"/>
        </w:rPr>
        <w:t> </w:t>
      </w:r>
      <w:r w:rsidRPr="00644417">
        <w:rPr>
          <w:sz w:val="26"/>
          <w:szCs w:val="26"/>
        </w:rPr>
        <w:t>«МРСК Северо-Запада»</w:t>
      </w:r>
      <w:r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gramStart"/>
            <w:r w:rsidRPr="00F43D18">
              <w:rPr>
                <w:b/>
                <w:sz w:val="26"/>
                <w:szCs w:val="26"/>
              </w:rPr>
              <w:t>п</w:t>
            </w:r>
            <w:proofErr w:type="gramEnd"/>
            <w:r w:rsidRPr="00F43D1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Горностаева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Кормаков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3: </w:t>
      </w:r>
      <w:r w:rsidRPr="00644417">
        <w:rPr>
          <w:b/>
          <w:sz w:val="26"/>
          <w:szCs w:val="26"/>
        </w:rPr>
        <w:t>О рассмотрении отчета Единоличного исполнительного органа ПАО «МРСК Северо-Запада» об управлении ключевыми операционными рисками за 1 полугодие 2019 года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44417" w:rsidRPr="00923A4B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Принять к сведению отчет Единоличного исполнительного органа ПАО</w:t>
      </w:r>
      <w:r w:rsidR="00953C8C">
        <w:rPr>
          <w:sz w:val="26"/>
          <w:szCs w:val="26"/>
        </w:rPr>
        <w:t> </w:t>
      </w:r>
      <w:r w:rsidRPr="00644417">
        <w:rPr>
          <w:sz w:val="26"/>
          <w:szCs w:val="26"/>
        </w:rPr>
        <w:t>«МРСК Северо-Запада» об управлении ключевыми операционными рисками за 1 полугодие 2019 года</w:t>
      </w:r>
      <w:r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gramStart"/>
            <w:r w:rsidRPr="00F43D18">
              <w:rPr>
                <w:b/>
                <w:sz w:val="26"/>
                <w:szCs w:val="26"/>
              </w:rPr>
              <w:t>п</w:t>
            </w:r>
            <w:proofErr w:type="gramEnd"/>
            <w:r w:rsidRPr="00F43D1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Горностаева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Кормаков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4: </w:t>
      </w:r>
      <w:r w:rsidRPr="00644417">
        <w:rPr>
          <w:b/>
          <w:sz w:val="26"/>
          <w:szCs w:val="26"/>
        </w:rPr>
        <w:t>О рассмотрении Реестра непрофильных активов ПАО</w:t>
      </w:r>
      <w:r w:rsidR="00953C8C">
        <w:rPr>
          <w:b/>
          <w:sz w:val="26"/>
          <w:szCs w:val="26"/>
        </w:rPr>
        <w:t> </w:t>
      </w:r>
      <w:r w:rsidRPr="00644417">
        <w:rPr>
          <w:b/>
          <w:sz w:val="26"/>
          <w:szCs w:val="26"/>
        </w:rPr>
        <w:t>«МРСК Северо-Запада» по состоянию на 30.06.2019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44417" w:rsidRP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Pr="00923A4B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Утвердить Реестр непрофильных активов Общества в новой редакции на 30.06.2019 согласно приложению к решению Совета директоров Общества</w:t>
      </w:r>
      <w:r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gramStart"/>
            <w:r w:rsidRPr="00F43D18">
              <w:rPr>
                <w:b/>
                <w:sz w:val="26"/>
                <w:szCs w:val="26"/>
              </w:rPr>
              <w:t>п</w:t>
            </w:r>
            <w:proofErr w:type="gramEnd"/>
            <w:r w:rsidRPr="00F43D1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1422A">
              <w:rPr>
                <w:sz w:val="26"/>
                <w:szCs w:val="26"/>
              </w:rPr>
              <w:t>«Воздержался»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Горностаева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1422A">
              <w:rPr>
                <w:sz w:val="26"/>
                <w:szCs w:val="26"/>
              </w:rPr>
              <w:t>«Воздержался»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Кормаков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5: </w:t>
      </w:r>
      <w:r w:rsidRPr="00644417">
        <w:rPr>
          <w:b/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2 квартал 2019 года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44417" w:rsidRP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Pr="00923A4B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2 квартал 2019 года</w:t>
      </w:r>
      <w:r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gramStart"/>
            <w:r w:rsidRPr="00F43D18">
              <w:rPr>
                <w:b/>
                <w:sz w:val="26"/>
                <w:szCs w:val="26"/>
              </w:rPr>
              <w:t>п</w:t>
            </w:r>
            <w:proofErr w:type="gramEnd"/>
            <w:r w:rsidRPr="00F43D1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Головцов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Горностаева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44417">
              <w:rPr>
                <w:b/>
                <w:sz w:val="26"/>
                <w:szCs w:val="26"/>
              </w:rPr>
              <w:t>Кормаков</w:t>
            </w:r>
            <w:proofErr w:type="spellEnd"/>
            <w:r w:rsidRPr="00644417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F43D18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422A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C95A40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644417" w:rsidRDefault="00B1422A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A" w:rsidRPr="002B2F51" w:rsidRDefault="00B1422A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66016" w:rsidRDefault="00466016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Default="00644417" w:rsidP="00634FD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Избрать заместителем Председателя Комитета по стратегии Совета директоров ПАО «МРСК Северо-Запада» Домнича Виталия Анатольевича - Исполняющего обязанности директора Департамента стратегического развития ПАО «</w:t>
      </w:r>
      <w:proofErr w:type="spellStart"/>
      <w:r w:rsidRPr="00644417">
        <w:rPr>
          <w:sz w:val="26"/>
          <w:szCs w:val="26"/>
        </w:rPr>
        <w:t>Россети</w:t>
      </w:r>
      <w:proofErr w:type="spellEnd"/>
      <w:r w:rsidRPr="00644417">
        <w:rPr>
          <w:sz w:val="26"/>
          <w:szCs w:val="26"/>
        </w:rPr>
        <w:t>»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Избрать секретарем Комитета по стратегии Совета директоров ПАО «МРСК Северо-Запада» </w:t>
      </w:r>
      <w:proofErr w:type="spellStart"/>
      <w:r w:rsidRPr="00644417">
        <w:rPr>
          <w:sz w:val="26"/>
          <w:szCs w:val="26"/>
        </w:rPr>
        <w:t>Капырина</w:t>
      </w:r>
      <w:proofErr w:type="spellEnd"/>
      <w:r w:rsidRPr="00644417">
        <w:rPr>
          <w:sz w:val="26"/>
          <w:szCs w:val="26"/>
        </w:rPr>
        <w:t xml:space="preserve"> Сергея Игоревича - заместителя начальника Департамента корпоративного управления и взаимодействия с акционерами ПАО</w:t>
      </w:r>
      <w:r w:rsidR="00953C8C">
        <w:rPr>
          <w:sz w:val="26"/>
          <w:szCs w:val="26"/>
        </w:rPr>
        <w:t> </w:t>
      </w:r>
      <w:r w:rsidRPr="00644417">
        <w:rPr>
          <w:sz w:val="26"/>
          <w:szCs w:val="26"/>
        </w:rPr>
        <w:t>«МРСК Северо-Запада»</w:t>
      </w:r>
      <w:r>
        <w:rPr>
          <w:sz w:val="26"/>
          <w:szCs w:val="26"/>
        </w:rPr>
        <w:t>.</w:t>
      </w:r>
    </w:p>
    <w:p w:rsidR="004E7B2F" w:rsidRDefault="004E7B2F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4E7B2F" w:rsidRDefault="004E7B2F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4E7B2F" w:rsidRDefault="004E7B2F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Принять к сведению отчет Единоличного исполнительного органа ПАО</w:t>
      </w:r>
      <w:r w:rsidR="00953C8C">
        <w:rPr>
          <w:sz w:val="26"/>
          <w:szCs w:val="26"/>
        </w:rPr>
        <w:t> </w:t>
      </w:r>
      <w:r w:rsidRPr="00644417">
        <w:rPr>
          <w:sz w:val="26"/>
          <w:szCs w:val="26"/>
        </w:rPr>
        <w:t>«МРСК Северо-Запада» об управлении ключевыми операционными рисками за 1 полугодие 2019 года</w:t>
      </w:r>
      <w:r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4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P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Утвердить Реестр непрофильных активов Общества в новой редакции на 30.06.2019 согласно приложению к решению Совета директоров Общества</w:t>
      </w:r>
      <w:r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5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644417" w:rsidRP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644417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2 квартал 2019 года</w:t>
      </w:r>
      <w:r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2A4B4F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особое мнение члена Комитета </w:t>
      </w:r>
      <w:r w:rsidRPr="009F3594">
        <w:rPr>
          <w:noProof/>
          <w:sz w:val="26"/>
          <w:szCs w:val="26"/>
          <w:lang w:eastAsia="x-none"/>
        </w:rPr>
        <w:t xml:space="preserve">по стратегии </w:t>
      </w:r>
      <w:r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Pr="009F3594">
        <w:rPr>
          <w:noProof/>
          <w:sz w:val="26"/>
          <w:szCs w:val="26"/>
          <w:lang w:eastAsia="x-none"/>
        </w:rPr>
        <w:t xml:space="preserve"> Общества</w:t>
      </w:r>
      <w:r w:rsidRPr="002A4B4F">
        <w:rPr>
          <w:noProof/>
          <w:sz w:val="26"/>
          <w:szCs w:val="26"/>
        </w:rPr>
        <w:t xml:space="preserve"> </w:t>
      </w:r>
      <w:r w:rsidR="00A85CF7">
        <w:rPr>
          <w:noProof/>
          <w:sz w:val="26"/>
          <w:szCs w:val="26"/>
        </w:rPr>
        <w:t>Головцова А.В.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A85CF7">
        <w:rPr>
          <w:i/>
          <w:sz w:val="26"/>
          <w:szCs w:val="26"/>
        </w:rPr>
        <w:t xml:space="preserve"> 04</w:t>
      </w:r>
      <w:r w:rsidR="00F75978">
        <w:rPr>
          <w:i/>
          <w:sz w:val="26"/>
          <w:szCs w:val="26"/>
        </w:rPr>
        <w:t xml:space="preserve"> </w:t>
      </w:r>
      <w:r w:rsidR="00A85CF7">
        <w:rPr>
          <w:i/>
          <w:sz w:val="26"/>
          <w:szCs w:val="26"/>
        </w:rPr>
        <w:t>сентября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A85CF7" w:rsidRPr="00A85CF7">
        <w:rPr>
          <w:b/>
          <w:sz w:val="26"/>
          <w:szCs w:val="26"/>
        </w:rPr>
        <w:t>О.В. Тихомирова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123A5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23A56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80" w:rsidRDefault="00D36480" w:rsidP="00F35233">
      <w:r>
        <w:separator/>
      </w:r>
    </w:p>
  </w:endnote>
  <w:endnote w:type="continuationSeparator" w:id="0">
    <w:p w:rsidR="00D36480" w:rsidRDefault="00D36480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ED">
          <w:rPr>
            <w:noProof/>
          </w:rPr>
          <w:t>5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80" w:rsidRDefault="00D36480" w:rsidP="00F35233">
      <w:r>
        <w:separator/>
      </w:r>
    </w:p>
  </w:footnote>
  <w:footnote w:type="continuationSeparator" w:id="0">
    <w:p w:rsidR="00D36480" w:rsidRDefault="00D36480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B4C-B169-4E69-9561-F81A3B3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1001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218</cp:revision>
  <cp:lastPrinted>2019-09-04T15:22:00Z</cp:lastPrinted>
  <dcterms:created xsi:type="dcterms:W3CDTF">2018-01-12T12:44:00Z</dcterms:created>
  <dcterms:modified xsi:type="dcterms:W3CDTF">2019-09-09T12:36:00Z</dcterms:modified>
</cp:coreProperties>
</file>