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Требования по внесению вопросов в повестку дня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заседания или заочного голосования Общего собрания акционеров</w:t>
        <w:br/>
        <w:t xml:space="preserve">ПАО «Россети Северо-Запад»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 по выдвижению кандидатов в Совет директоров и Ревизионную комиссию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ПАО «Россети Северо-Запад»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Выдержки из </w:t>
      </w:r>
      <w:r>
        <w:rPr>
          <w:b/>
          <w:sz w:val="24"/>
          <w:szCs w:val="24"/>
          <w:lang w:val="ru-RU"/>
        </w:rPr>
        <w:t xml:space="preserve">Устава ПАО «</w:t>
      </w:r>
      <w:r>
        <w:rPr>
          <w:b/>
          <w:sz w:val="24"/>
          <w:szCs w:val="24"/>
          <w:lang w:val="ru-RU"/>
        </w:rPr>
        <w:t xml:space="preserve">Россети</w:t>
      </w:r>
      <w:r>
        <w:rPr>
          <w:b/>
          <w:sz w:val="24"/>
          <w:szCs w:val="24"/>
          <w:lang w:val="ru-RU"/>
        </w:rPr>
        <w:t xml:space="preserve"> Северо-Запад»</w:t>
      </w:r>
      <w:r>
        <w:rPr>
          <w:sz w:val="24"/>
          <w:szCs w:val="24"/>
          <w:lang w:val="ru-RU"/>
        </w:rPr>
        <w:t xml:space="preserve">, утвержденного на годовом заседании Общего собрания акционеров Общества 19.06.2025 (протокол № 21)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jc w:val="center"/>
        <w:widowControl w:val="off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ind w:left="-567" w:right="-426"/>
        <w:jc w:val="center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Статья 13. Предложения в повестку дня годового заседания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1"/>
          <w:numId w:val="4"/>
        </w:numPr>
        <w:ind w:left="0" w:firstLine="567"/>
        <w:jc w:val="both"/>
        <w:widowControl w:val="off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Акционеры (акционер) Общества, являющиеся в совокупности владельцами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не менее чем 2 (Двух) процентов голосующих акций Общества, вправе предложить (внести) вопросы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повестку дня годового заседания и предложить (выдвинуть) кандидатов в Совет директоров Общества и Ревизионную комиссию Общества, число которых не может превышать количественный состав соответствующего органа. Такие предложения должны поступить в Общество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не ранее 1 июля отчетного года и не позднее 1 марта года, следующего за отчетным.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"/>
        </w:numPr>
        <w:ind w:left="0" w:firstLine="567"/>
        <w:jc w:val="both"/>
        <w:widowControl w:val="off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Предложение о внесении вопросов в повестку дня и предложе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ние о выдвижении кандидатов вносятся в письменной форме с указанием имени (наименования) представивших их акционеров (акционера), количества и категории (типа) принадлежащих им акций и должны быть подписаны акционерами (акционером) или их представителями.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Акционеры Общества, не зарегистрированные в реестре акционеров Общества, вправе вносить предложения в повестку дн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и предложения о выдвижении кандидатов также путем дачи соответствующих указаний (инструкций) лицу, которое учитывает их права на акции. Такие указания (инструкции) даются в соответствии с правилами законодательства Российской Федерации о ценных бумагах.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Предложение о внесении вопросов в повестку дня должно содержать формулировку 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ждого предлагаемого вопроса, а предложение о выдвижении кандидатов должно содержать имя и данные документа, удостоверяющего личность (серия и (или) номер документа, дата и место его выдачи, орган, выдавший документ) каждого предлагаемого кандидата, наимено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вание органа, для избрания в который он предлагается, а также иные сведения о кандидате, предусмотренные внутренними документами Общества. Предложение о внесении вопросов в повестку дня может содержать формулировку решения по каждому предлагаемому вопросу.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"/>
        </w:numPr>
        <w:ind w:left="0" w:firstLine="567"/>
        <w:jc w:val="both"/>
        <w:widowControl w:val="off"/>
        <w:tabs>
          <w:tab w:val="clear" w:pos="720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предложению о выдвижении кандидатов должно прилагать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 согласие каждого предлагаемого кандидата на избрание в соответствующий орган Общества. Совет директоров Общества обязан рассмотреть поступившие предложения и принять решение о включении вопросов в повестку дня или об отказе во включении в повестку дня,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 также о включении кандидатов в список кандидатур для голосования по выборам в соответствующий орган Общества или об отказе во включении кандидатов в указанный список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 позднее 5 (Пяти) дней после окончания срока, указанного в пункте 13.1 настоящей статьи.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"/>
        </w:numPr>
        <w:ind w:left="0" w:firstLine="567"/>
        <w:jc w:val="both"/>
        <w:widowControl w:val="off"/>
        <w:tabs>
          <w:tab w:val="clear" w:pos="720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Совет директоров Общества вправе отказать во включении внесенных акционером (акционерами) в повестку дня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опросов, а также во включении выдвинутых кандидатов в список кандидатур для голосования по выборам в соответствующий орган Общества по основаниям, предусмотренным Федеральным законом «Об акционерных обществах» и иными правовыми актами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"/>
        </w:numPr>
        <w:ind w:left="0" w:firstLine="567"/>
        <w:jc w:val="both"/>
        <w:widowControl w:val="off"/>
        <w:tabs>
          <w:tab w:val="left" w:pos="1134" w:leader="none"/>
          <w:tab w:val="num" w:pos="1440" w:leader="none"/>
          <w:tab w:val="left" w:pos="170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Мотивированное решение Совета директоров Общества об отказе во включении вопроса в повестку дня или кандидата в список кандидатур для голосования по выб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орам в соответствующий орган Общества направляется акционеру (акционерам), внесшему вопрос или выдвинувшему кандидата, не позднее 3 (Трех) дней с даты его принятия. Если данные предложения поступили в Общество от лиц, которые не зарегистрированы в реестре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акционеров Общества и дали указание (инструкцию) лицу, осуществляющему учет их прав на акции, указанное решение Совета дирек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торов Общества направляется таким лицам не позднее 3 (Трех) дней с даты его принятия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4"/>
        </w:numPr>
        <w:ind w:left="0" w:firstLine="567"/>
        <w:jc w:val="both"/>
        <w:widowControl w:val="off"/>
        <w:tabs>
          <w:tab w:val="clear" w:pos="720" w:leader="none"/>
          <w:tab w:val="left" w:pos="1134" w:leader="none"/>
          <w:tab w:val="left" w:pos="170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Совет директоров Общества не вправе вносить изменения в формулировки вопросов, предложенных для включения в повестку дня, и (при их наличии) в формулировки решений по таким вопросам.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8"/>
        <w:ind w:firstLine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Наряду с вопросами, предложенными акционерами для включения в повестку дня, а также кандидатами, предложенными акционерами для образования соответствующего органа, Совет директоров Общества вправе включать в повестку дня вопросы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(или) кандидатов в список кандидатур для голосования по выборам в соответствующий орган Общества по своему усмотрению. Число кандидатов, предлагаемых Советом директоров Общества, не может превышать количественный состав соответствующего органа Общества.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2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35" w:lineRule="auto"/>
        <w:widowControl w:val="off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/>
        </w:rPr>
        <w:t xml:space="preserve">Статья 16. Избрание Совета директоров Общества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</w:r>
      <w:r>
        <w:rPr>
          <w:rFonts w:ascii="Times New Roman" w:hAnsi="Times New Roman" w:cs="Times New Roman"/>
          <w:b/>
          <w:spacing w:val="-2"/>
          <w:sz w:val="24"/>
          <w:szCs w:val="24"/>
        </w:rPr>
      </w:r>
    </w:p>
    <w:p>
      <w:pPr>
        <w:spacing w:line="235" w:lineRule="auto"/>
        <w:widowControl w:val="off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pacing w:val="-2"/>
          <w:sz w:val="24"/>
          <w:szCs w:val="24"/>
        </w:rPr>
      </w:r>
      <w:r>
        <w:rPr>
          <w:rFonts w:ascii="Times New Roman" w:hAnsi="Times New Roman" w:cs="Times New Roman"/>
          <w:b/>
          <w:spacing w:val="-2"/>
          <w:sz w:val="24"/>
          <w:szCs w:val="24"/>
        </w:rPr>
      </w:r>
    </w:p>
    <w:p>
      <w:pPr>
        <w:numPr>
          <w:ilvl w:val="1"/>
          <w:numId w:val="5"/>
        </w:numPr>
        <w:ind w:left="0" w:firstLine="567"/>
        <w:jc w:val="both"/>
        <w:spacing w:line="238" w:lineRule="auto"/>
        <w:widowControl w:val="off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Количественный состав Совета директоров Общества составляет 11 (Одиннадцать) человек.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5"/>
        </w:numPr>
        <w:ind w:left="0" w:firstLine="567"/>
        <w:jc w:val="both"/>
        <w:spacing w:line="238" w:lineRule="auto"/>
        <w:widowControl w:val="off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Члены Совета директоров Общества избираются Общим собранием акционеров Общества в порядке, предусмотренном Федеральным законом «Об акционерных обществах» и настоящим Уставом, на срок до следующего годового заседания.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8"/>
        <w:ind w:firstLine="567"/>
        <w:spacing w:line="23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годовое заседание не было проведено в сроки, установленные пунктом 11.5 статьи 11 настоящего Устава, полномочия Совета директоров Общества прекращаются, за исключением полномочий по подготовке и проведению годового заседания.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48"/>
        <w:ind w:firstLine="567"/>
        <w:spacing w:line="238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на годовом заседании решение об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избрании членов Совета директоров Общества не было принято, полномочия Совета директоров Общества прекращаются, за исключением полномочий по подготовке и проведению внеочередного заседания для принятия решения об избрании членов Совета директоров Общества.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2"/>
        </w:rPr>
      </w:r>
    </w:p>
    <w:p>
      <w:pPr>
        <w:numPr>
          <w:ilvl w:val="1"/>
          <w:numId w:val="5"/>
        </w:numPr>
        <w:ind w:left="0" w:firstLine="567"/>
        <w:spacing w:line="238" w:lineRule="auto"/>
        <w:widowControl w:val="off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Членом Совета директоров Общества может быть только физическое лицо.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5"/>
        </w:numPr>
        <w:ind w:left="0" w:firstLine="567"/>
        <w:jc w:val="both"/>
        <w:spacing w:line="238" w:lineRule="auto"/>
        <w:widowControl w:val="off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Лица, избранные в состав Совета директоров Общества, могут переизбираться неограниченное число раз.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84"/>
        <w:numPr>
          <w:ilvl w:val="1"/>
          <w:numId w:val="5"/>
        </w:numPr>
        <w:ind w:left="0" w:firstLine="567"/>
        <w:jc w:val="both"/>
        <w:spacing w:line="238" w:lineRule="auto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Генеральный директор Общества и члены Правления Общества не могут составлять более одной четверти состава Совета директоров Общества и не могут занимать должность Председателя Совета директоров Общества (Председательствующего).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5"/>
        </w:numPr>
        <w:ind w:left="0" w:firstLine="567"/>
        <w:jc w:val="both"/>
        <w:spacing w:line="238" w:lineRule="auto"/>
        <w:widowControl w:val="off"/>
        <w:tabs>
          <w:tab w:val="clear" w:pos="720" w:leader="none"/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решению Общего собрания акционеров Общества полномочия членов Совета директоров Общества могут быть прекращены досрочно.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567"/>
        <w:jc w:val="both"/>
        <w:spacing w:line="238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Общего собрания акционеров Общества о досрочном прекращении полномочий может быть принято только в отношении всех членов Совета директоров Общества.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widowControl w:val="off"/>
        <w:tabs>
          <w:tab w:val="num" w:pos="709" w:leader="none"/>
          <w:tab w:val="left" w:pos="1134" w:leader="none"/>
          <w:tab w:val="left" w:pos="1418" w:leader="none"/>
        </w:tabs>
        <w:rPr>
          <w:rFonts w:ascii="Times New Roman" w:hAnsi="Times New Roman" w:cs="Times New Roman"/>
          <w:b/>
          <w:bCs/>
          <w:spacing w:val="-2"/>
          <w:sz w:val="24"/>
          <w:szCs w:val="24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/>
        </w:rPr>
        <w:t xml:space="preserve">Статья 24. 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/>
        </w:rPr>
        <w:t xml:space="preserve">Ревизионная комиссия Общества и аудиторская организация Общества. Внутренний аудит Общества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14:ligatures w14:val="none"/>
        </w:rPr>
      </w:r>
    </w:p>
    <w:p>
      <w:pPr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6"/>
        </w:numPr>
        <w:ind w:firstLine="567"/>
        <w:jc w:val="both"/>
        <w:widowControl w:val="off"/>
        <w:tabs>
          <w:tab w:val="clear" w:pos="144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Для осуществления контроля за финансово-хозяйственной деятельностью Общества на годовом заседании Общего собрания акционеров Общества избирается Ревизионная комиссия Общества на срок до следующего годового заседания Общего собрания акционеров Общества.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pStyle w:val="849"/>
        <w:tabs>
          <w:tab w:val="clear" w:pos="1134" w:leader="none"/>
        </w:tabs>
        <w:rPr>
          <w:rFonts w:ascii="Times New Roman" w:hAnsi="Times New Roman" w:cs="Times New Roman"/>
          <w:spacing w:val="-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 случае избр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ания членов Ревизионной комиссии Общества на внеочередном заседании Общего собрания акционеров Общества члены Ревизионной комиссии Общества считаются избранными на период до даты проведения следующего годового заседания Общего собрания акционеров Общества.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Cs w:val="22"/>
        </w:rPr>
      </w:r>
    </w:p>
    <w:p>
      <w:pPr>
        <w:pStyle w:val="849"/>
        <w:jc w:val="left"/>
        <w:tabs>
          <w:tab w:val="clear" w:pos="1134" w:leader="none"/>
        </w:tabs>
        <w:rPr>
          <w:rFonts w:ascii="Times New Roman" w:hAnsi="Times New Roman" w:cs="Times New Roman"/>
          <w:spacing w:val="-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Количественный состав Ревизионной комиссии Общества составляет 5 (Пять) человек.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Cs w:val="22"/>
        </w:rPr>
      </w:r>
    </w:p>
    <w:p>
      <w:pPr>
        <w:numPr>
          <w:ilvl w:val="1"/>
          <w:numId w:val="6"/>
        </w:numPr>
        <w:ind w:firstLine="567"/>
        <w:jc w:val="both"/>
        <w:widowControl w:val="off"/>
        <w:tabs>
          <w:tab w:val="left" w:pos="1134" w:leader="none"/>
          <w:tab w:val="clear" w:pos="144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По решению Общего собрания акционеров Общества полномочия всех членов Ревизионной комиссии Общества могут быть прекращены досрочно.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ind w:firstLine="567"/>
        <w:jc w:val="both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Члены Ревизионной комиссии Общества не могут одновременно являться членами Совета директоров Общества, а также занимать иные должности в органах управления Общества.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6"/>
        </w:num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 случае выбытия члена Ревизионной комиссии Общества из состава Ревизионной комиссии Общества полномочия остальных членов Ревизионной комиссии Общества не прекращаются.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cs="Times New Roman"/>
          <w:spacing w:val="-2"/>
          <w:sz w:val="22"/>
          <w:szCs w:val="22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tabs>
          <w:tab w:val="num" w:pos="720" w:leader="none"/>
        </w:tabs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lang w:val="ru-RU"/>
        </w:rPr>
        <w:t xml:space="preserve">Выдержки из </w:t>
      </w:r>
      <w:r>
        <w:rPr>
          <w:b/>
          <w:sz w:val="24"/>
          <w:szCs w:val="24"/>
          <w:lang w:val="ru-RU"/>
        </w:rPr>
        <w:t xml:space="preserve">Положения об Общем собрании акционеров ПАО «</w:t>
      </w:r>
      <w:r>
        <w:rPr>
          <w:b/>
          <w:sz w:val="24"/>
          <w:szCs w:val="24"/>
          <w:lang w:val="ru-RU"/>
        </w:rPr>
        <w:t xml:space="preserve">Россети</w:t>
      </w:r>
      <w:r>
        <w:rPr>
          <w:b/>
          <w:sz w:val="24"/>
          <w:szCs w:val="24"/>
          <w:lang w:val="ru-RU"/>
        </w:rPr>
        <w:t xml:space="preserve"> Северо-Запад»</w:t>
      </w:r>
      <w:r>
        <w:rPr>
          <w:sz w:val="24"/>
          <w:szCs w:val="24"/>
          <w:lang w:val="ru-RU"/>
        </w:rPr>
        <w:t xml:space="preserve">, утвержденного на годовым заседании Общего собрания акционеров </w:t>
      </w:r>
      <w:r>
        <w:rPr>
          <w:sz w:val="24"/>
          <w:szCs w:val="24"/>
          <w:lang w:val="ru-RU"/>
        </w:rPr>
        <w:t xml:space="preserve">Общества</w:t>
      </w:r>
      <w:r>
        <w:rPr>
          <w:sz w:val="24"/>
          <w:szCs w:val="24"/>
          <w:lang w:val="ru-RU"/>
        </w:rPr>
        <w:t xml:space="preserve"> 19.06.2025 (протокол № 21).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ind w:firstLine="567"/>
        <w:jc w:val="both"/>
        <w:tabs>
          <w:tab w:val="num" w:pos="72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567"/>
        <w:jc w:val="center"/>
        <w:rPr>
          <w:b/>
          <w:bCs/>
        </w:rPr>
      </w:pPr>
      <w:r>
        <w:rPr>
          <w:b/>
          <w:bCs/>
          <w:sz w:val="24"/>
          <w:szCs w:val="24"/>
          <w:lang w:val="ru-RU"/>
        </w:rPr>
        <w:t xml:space="preserve">5.</w:t>
        <w:tab/>
        <w:t xml:space="preserve">Предложения о внесении вопросов в повестку дня годового заседания и предложения о выдвижении кандидатов</w:t>
      </w:r>
      <w:r>
        <w:rPr>
          <w:b/>
          <w:bCs/>
          <w:sz w:val="24"/>
          <w:szCs w:val="24"/>
          <w:lang w:val="ru-RU"/>
        </w:rPr>
      </w:r>
      <w:r>
        <w:rPr>
          <w:b/>
          <w:bCs/>
        </w:rPr>
      </w:r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5.1.</w:t>
        <w:tab/>
        <w:t xml:space="preserve">Повестка дня годового заседания Общего собрания акционеров Общества определяется Советом директоров Общества.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.2.</w:t>
        <w:tab/>
        <w:t xml:space="preserve">Акционеры (акционер) Общества, являющиеся в совокупности владельцами не менее чем 2 (Двух) процентов голосующих акций Общества, вправе предложить (внести) вопросы в повестку дня годового заседания Общего собрания акционеров Общества и предложить (выдви</w:t>
      </w:r>
      <w:r>
        <w:rPr>
          <w:sz w:val="24"/>
          <w:szCs w:val="24"/>
          <w:lang w:val="ru-RU"/>
        </w:rPr>
        <w:t xml:space="preserve">н</w:t>
      </w:r>
      <w:r>
        <w:rPr>
          <w:sz w:val="24"/>
          <w:szCs w:val="24"/>
          <w:lang w:val="ru-RU"/>
        </w:rPr>
        <w:t xml:space="preserve">уть) кандидатов в Совет директоров Общества и Ревизионную комиссию Общества, число которых не может превышать количественный состав соответствующего органа в порядке и в сроки, определенные Уставом Общества, Федеральным законом «Об акционерных обществах» и</w:t>
      </w:r>
      <w:r>
        <w:rPr>
          <w:sz w:val="24"/>
          <w:szCs w:val="24"/>
          <w:lang w:val="ru-RU"/>
        </w:rPr>
        <w:t xml:space="preserve"> иными нормативными правовыми актами Российской Федерации. Такие предложения должны поступить в Общество не ранее 1 июля отчетного года и не позднее 1 марта года, следующего за отчетным.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5.3.</w:t>
        <w:tab/>
        <w:t xml:space="preserve">Предложение о внесении вопросов в повестку дня и предложение о выдвижении кандидатов (далее при совместном упоминании – предложение в повестку дня) вносятся в порядке, предусмотренном пунктом 3.2 настоящего Положения.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Доля голосующих акций, принадлежащих акционеру Общества, вносящему предложение в повестку дня, определяется на дату внесения такого предложения.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.4.</w:t>
        <w:tab/>
        <w:t xml:space="preserve">В случае если в предложении в повестку дня содержатся существенные недостатки, не позволяющие в целом определить волю акционера Общества и подтвердить наличие у него соответствующего права, Общество незамедлительно сообщает о них акционеру Общества для</w:t>
      </w:r>
      <w:r>
        <w:rPr>
          <w:sz w:val="24"/>
          <w:szCs w:val="24"/>
          <w:lang w:val="ru-RU"/>
        </w:rPr>
        <w:t xml:space="preserve"> предоставления возможности их своевременного исправления.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5.5.</w:t>
        <w:tab/>
        <w:t xml:space="preserve">Предложение в повестку дня может быть внесено несколькими акционерами Общества, действующими совместно, в порядке, предусмотренном пунктом 3.3 настоящего Положения.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.6.</w:t>
        <w:tab/>
        <w:t xml:space="preserve">Предложение в повестку дня может быть внесено акционером Общества, права на акции которого учитываются на лицевом счете акционера Общества в реестре акционеров Общества и номинальными держателями (учитываются несколькими номинальными держателями), в по</w:t>
      </w:r>
      <w:r>
        <w:rPr>
          <w:sz w:val="24"/>
          <w:szCs w:val="24"/>
          <w:lang w:val="ru-RU"/>
        </w:rPr>
        <w:t xml:space="preserve">рядке, предусмотренном пунктом 3.4 настоящего Положения.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5.7.</w:t>
        <w:tab/>
        <w:t xml:space="preserve">Предложение о внесении вопросов в повестку дня должно содержать формулировку каждого предлагаемого вопроса и может содержать формулировки решений по каждому предлагаемому вопросу.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5.8.</w:t>
        <w:tab/>
        <w:t xml:space="preserve"> Акционеры Общества при выдвижении кандидатов в Совет директоров Общества и Ревизионную комиссию Общества в порядке, предусмотренном законодательством Российской Федерации, предоставляют следующую информацию о выдвигаемых кандидатах: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а)</w:t>
        <w:tab/>
        <w:t xml:space="preserve">фамилия, имя, отчество (при наличии);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б)</w:t>
        <w:tab/>
        <w:t xml:space="preserve">данные документа, удостоверяющего личность (серия и (или) номер документа, дата и место его выдачи, орган, выдавший документ);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в)</w:t>
        <w:tab/>
        <w:t xml:space="preserve">гражданство;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г)</w:t>
        <w:tab/>
        <w:t xml:space="preserve">место жительства (государство, город);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д)</w:t>
        <w:tab/>
        <w:t xml:space="preserve">образование (уровень, специальность, учебное заведение, год окончания);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е)</w:t>
        <w:tab/>
        <w:t xml:space="preserve">основное место работы (включая наименование юридического лица и занимаемую должность);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ж)</w:t>
        <w:tab/>
        <w:t xml:space="preserve">трудовой стаж за предшествующие дате выдвижения 5 (Пять) лет (включая наименования юридических лиц и занимаемые должности);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з)</w:t>
        <w:tab/>
        <w:t xml:space="preserve">о прямом владении акциями Общества и его дочерних обществ (количество непосредственно принадлежащих кандидату акций);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и)</w:t>
        <w:tab/>
        <w:t xml:space="preserve">является ли членом совета директоров, членом коллегиального исполнительного органа или иного коллегиального органа управления другого юридического лица;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к)</w:t>
        <w:tab/>
        <w:t xml:space="preserve">является ли должностным лицом другого хозяйственного общества, другое должностное лицо которого также выдвигается в качестве кандидата в Совет директоров Общества (информация предоставляется в отношении кандидатов в Совет директоров Общества);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л)</w:t>
        <w:tab/>
        <w:t xml:space="preserve">является ли супругом, родителем, сыном, дочерью, братом, сестрой должностных лиц (управляющего) Общества (должностных лиц управляющей организации Общества);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</w:tabs>
      </w:pP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  <w:lang w:val="ru-RU"/>
        </w:rPr>
        <w:t xml:space="preserve">)</w:t>
        <w:tab/>
        <w:t xml:space="preserve">является ли стороной по обязательствам с Обществом, в соответствии с условиями которых кандидат может приобрести имущество (получить денежные средства), стоимость которого составляет 10 (Десять) и более процентов совокупного годового дохода кандидата, кр</w:t>
      </w:r>
      <w:r>
        <w:rPr>
          <w:sz w:val="24"/>
          <w:szCs w:val="24"/>
          <w:lang w:val="ru-RU"/>
        </w:rPr>
        <w:t xml:space="preserve">оме получения вознаграждения за участие в деятельности Совета директоров Общества или Ревизионной комиссии Общества.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</w:tabs>
      </w:pPr>
      <w:r>
        <w:rPr>
          <w:sz w:val="24"/>
          <w:szCs w:val="24"/>
          <w:lang w:val="ru-RU"/>
        </w:rPr>
        <w:t xml:space="preserve">5.9.</w:t>
        <w:tab/>
        <w:t xml:space="preserve">К предложению о выдвижении кандидатов в Совет директоров Общества и Ревизионную комиссию Общества должно прилагаться согласие кандидата на избрание в соответствующий орган Общества.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  <w:tab w:val="left" w:pos="1134" w:leader="none"/>
        </w:tabs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.10.</w:t>
        <w:tab/>
        <w:t xml:space="preserve"> Непредоставление акционерами Общества информации, указанной в пункте 5.8 настоящего Положения, и согласия кандидата на избрание, предусмотренного пунктом 5.9 настоящего Положения, может служить основанием для отказа от включения соответствующего канд</w:t>
      </w:r>
      <w:r>
        <w:rPr>
          <w:sz w:val="24"/>
          <w:szCs w:val="24"/>
          <w:lang w:val="ru-RU"/>
        </w:rPr>
        <w:t xml:space="preserve">идата в список кандидатур для голосования по выборам в Совет директоров Общества и Ревизионную комиссию Общества.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  <w:tab w:val="left" w:pos="1134" w:leader="none"/>
        </w:tabs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.11.</w:t>
        <w:tab/>
        <w:t xml:space="preserve">Общество направляет каждому кандидату, включенному в список кандидатур для голосования по выборам в Совет директоров Общества и Ревизионную комиссию Общества, письмо, в котором сообщает, в какой орган Общества он выдвинут, кто внес предложение о выдви</w:t>
      </w:r>
      <w:r>
        <w:rPr>
          <w:sz w:val="24"/>
          <w:szCs w:val="24"/>
          <w:lang w:val="ru-RU"/>
        </w:rPr>
        <w:t xml:space="preserve">ж</w:t>
      </w:r>
      <w:r>
        <w:rPr>
          <w:sz w:val="24"/>
          <w:szCs w:val="24"/>
          <w:lang w:val="ru-RU"/>
        </w:rPr>
        <w:t xml:space="preserve">ении его кандидатуры, каким количеством голосующих акций Общества владеют акционеры Общества, выдвинувшие его кандидатуру, с приложением формы анкеты кандидата в состав Совета директоров Общества, Ревизионной комиссии Общества для последующего заполнения и</w:t>
      </w:r>
      <w:r>
        <w:rPr>
          <w:sz w:val="24"/>
          <w:szCs w:val="24"/>
          <w:lang w:val="ru-RU"/>
        </w:rPr>
        <w:t xml:space="preserve"> представления в Общество.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tabs>
          <w:tab w:val="left" w:pos="850" w:leader="none"/>
          <w:tab w:val="left" w:pos="992" w:leader="none"/>
          <w:tab w:val="left" w:pos="1134" w:leader="none"/>
        </w:tabs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.12.</w:t>
        <w:tab/>
        <w:t xml:space="preserve">В случае если предложение в повестку дня подписано акционером Общества (его представителем), права на акции которого учитываются номинальным держателем, к такому предложению должна прилагаться выписка по счету депо акционера Общества (документ иностра</w:t>
      </w:r>
      <w:r>
        <w:rPr>
          <w:sz w:val="24"/>
          <w:szCs w:val="24"/>
          <w:lang w:val="ru-RU"/>
        </w:rPr>
        <w:t xml:space="preserve">н</w:t>
      </w:r>
      <w:r>
        <w:rPr>
          <w:sz w:val="24"/>
          <w:szCs w:val="24"/>
          <w:lang w:val="ru-RU"/>
        </w:rPr>
        <w:t xml:space="preserve">ного номинального держателя или иностранной организации, имеющей право в соответствии с ее личным законом осуществлять учет и переход прав на ценные бумаги), подтверждающая (подтверждающий) количество принадлежащих акционеру Общества акций Общества на дату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 ранее 7 (Семи) рабочих дней до даты направления предложения в повестку дня. К документу иностранного номинального держателя или иностранной организации, указанной в настоящем пункте, составленному на иностранном языке, должен прилагаться перевод на русс</w:t>
      </w:r>
      <w:r>
        <w:rPr>
          <w:sz w:val="24"/>
          <w:szCs w:val="24"/>
          <w:lang w:val="ru-RU"/>
        </w:rPr>
        <w:t xml:space="preserve">кий язык, засвидетельствованный (заверенный) в порядке, предусмотренном законодательством Российской Федерации.</w:t>
      </w:r>
      <w:r>
        <w:rPr>
          <w:sz w:val="24"/>
          <w:szCs w:val="24"/>
          <w:lang w:val="ru-RU"/>
        </w:rPr>
      </w:r>
      <w:r/>
    </w:p>
    <w:p>
      <w:pPr>
        <w:ind w:left="0" w:righ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</w:t>
      </w:r>
      <w:r>
        <w:rPr>
          <w:sz w:val="24"/>
          <w:szCs w:val="24"/>
          <w:lang w:val="ru-RU"/>
        </w:rPr>
        <w:t xml:space="preserve">.13.</w:t>
        <w:tab/>
        <w:t xml:space="preserve">В сообщении о проведении заседания или заочного голосования указывается, кем был предложен каждый из включенных в повестку дня вопросов, а при проведении заседания, в повестку дня которого включены вопросы об избрании членов Совета директоров Общества</w:t>
      </w:r>
      <w:r>
        <w:rPr>
          <w:sz w:val="24"/>
          <w:szCs w:val="24"/>
          <w:lang w:val="ru-RU"/>
        </w:rPr>
        <w:t xml:space="preserve"> и (или) об избрании членов Ревизионной комиссии Общества, также указывается, кем были выдвинуты кандидаты в указанные органы Общества.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619" w:hanging="619"/>
        <w:tabs>
          <w:tab w:val="num" w:pos="619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76" w:hanging="476"/>
        <w:tabs>
          <w:tab w:val="num" w:pos="47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4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76" w:hanging="476"/>
        <w:tabs>
          <w:tab w:val="num" w:pos="47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76" w:hanging="476"/>
        <w:tabs>
          <w:tab w:val="num" w:pos="47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619" w:hanging="619"/>
        <w:tabs>
          <w:tab w:val="num" w:pos="619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476" w:hanging="476"/>
        <w:tabs>
          <w:tab w:val="num" w:pos="47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24.%2."/>
      <w:lvlJc w:val="left"/>
      <w:pPr>
        <w:ind w:left="0" w:firstLine="72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3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4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3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paragraph" w:styleId="698">
    <w:name w:val="Caption"/>
    <w:basedOn w:val="843"/>
    <w:next w:val="843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844"/>
    <w:link w:val="698"/>
    <w:uiPriority w:val="35"/>
    <w:rPr>
      <w:b/>
      <w:bCs/>
      <w:color w:val="4f81bd" w:themeColor="accent1"/>
      <w:sz w:val="18"/>
      <w:szCs w:val="18"/>
    </w:rPr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>
    <w:name w:val="Hyperlink"/>
    <w:basedOn w:val="844"/>
    <w:uiPriority w:val="99"/>
    <w:unhideWhenUsed/>
    <w:rPr>
      <w:color w:val="0563c1" w:themeColor="hyperlink"/>
      <w:u w:val="single"/>
    </w:rPr>
  </w:style>
  <w:style w:type="paragraph" w:styleId="848" w:customStyle="1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ody Text Indent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113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spb01237</cp:lastModifiedBy>
  <cp:revision>12</cp:revision>
  <dcterms:created xsi:type="dcterms:W3CDTF">2022-11-03T06:14:00Z</dcterms:created>
  <dcterms:modified xsi:type="dcterms:W3CDTF">2025-09-08T10:58:59Z</dcterms:modified>
</cp:coreProperties>
</file>